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F4C18" w:rsidP="0050614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06147">
              <w:t>14</w:t>
            </w:r>
            <w:r w:rsidR="00C64A41">
              <w:t>.1</w:t>
            </w:r>
            <w:r w:rsidR="00A61935">
              <w:t>1</w:t>
            </w:r>
            <w:r w:rsidR="007263E4">
              <w:rPr>
                <w:noProof/>
              </w:rPr>
              <w:t>.201</w:t>
            </w:r>
            <w:r w:rsidR="000C3F54">
              <w:rPr>
                <w:noProof/>
              </w:rPr>
              <w:t>7</w:t>
            </w:r>
            <w:r w:rsidR="007263E4">
              <w:rPr>
                <w:noProof/>
              </w:rPr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F4C18" w:rsidP="004B083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4B083B">
              <w:t>54</w:t>
            </w:r>
            <w:r w:rsidR="004B083B">
              <w:rPr>
                <w:lang w:val="en-US"/>
              </w:rPr>
              <w:t>/30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EF4C18" w:rsidP="005F60A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F60AA" w:rsidRPr="005F60AA">
              <w:t xml:space="preserve">О внесении изменения в решение региональной службы по тарифам Нижегородской области </w:t>
            </w:r>
            <w:r w:rsidR="005F60AA">
              <w:br/>
            </w:r>
            <w:r w:rsidR="005F60AA" w:rsidRPr="005F60AA">
              <w:t xml:space="preserve">от 26 ноября 2015 года № 44/60 </w:t>
            </w:r>
            <w:r w:rsidR="005F60AA">
              <w:br/>
            </w:r>
            <w:r w:rsidR="005F60AA" w:rsidRPr="005F60AA">
              <w:t xml:space="preserve">«Об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УНИВЕРСИТЕТ», г. Нижний Новгород,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F60AA" w:rsidRDefault="005F60AA" w:rsidP="005F60AA">
      <w:pPr>
        <w:tabs>
          <w:tab w:val="left" w:pos="1897"/>
        </w:tabs>
        <w:jc w:val="center"/>
        <w:rPr>
          <w:noProof/>
          <w:szCs w:val="28"/>
        </w:rPr>
      </w:pPr>
      <w:r w:rsidRPr="005F60AA">
        <w:rPr>
          <w:noProof/>
          <w:szCs w:val="28"/>
        </w:rPr>
        <w:t xml:space="preserve">тарифов на тепловую энергию (мощность), </w:t>
      </w:r>
    </w:p>
    <w:p w:rsidR="0009131F" w:rsidRPr="005F60AA" w:rsidRDefault="005F60AA" w:rsidP="005F60AA">
      <w:pPr>
        <w:tabs>
          <w:tab w:val="left" w:pos="1897"/>
        </w:tabs>
        <w:jc w:val="center"/>
        <w:rPr>
          <w:bCs/>
          <w:szCs w:val="28"/>
        </w:rPr>
      </w:pPr>
      <w:r w:rsidRPr="005F60AA">
        <w:rPr>
          <w:noProof/>
          <w:szCs w:val="28"/>
        </w:rPr>
        <w:t>поставляемую</w:t>
      </w:r>
      <w:r w:rsidRPr="005F60AA">
        <w:rPr>
          <w:bCs/>
          <w:szCs w:val="28"/>
        </w:rPr>
        <w:t xml:space="preserve"> потребителям </w:t>
      </w:r>
      <w:r w:rsidRPr="005F60AA">
        <w:rPr>
          <w:noProof/>
          <w:szCs w:val="28"/>
        </w:rPr>
        <w:t>г. Нижнего Новгорода</w:t>
      </w:r>
      <w:r w:rsidRPr="005F60AA">
        <w:rPr>
          <w:bCs/>
          <w:szCs w:val="28"/>
        </w:rPr>
        <w:t>»</w:t>
      </w:r>
    </w:p>
    <w:p w:rsidR="005F60AA" w:rsidRDefault="005F60AA" w:rsidP="00C64A41">
      <w:pPr>
        <w:tabs>
          <w:tab w:val="left" w:pos="1897"/>
        </w:tabs>
        <w:spacing w:line="276" w:lineRule="auto"/>
        <w:jc w:val="center"/>
        <w:rPr>
          <w:szCs w:val="28"/>
        </w:rPr>
      </w:pPr>
    </w:p>
    <w:p w:rsidR="007263E4" w:rsidRPr="004B083B" w:rsidRDefault="007263E4" w:rsidP="00C64A41">
      <w:pPr>
        <w:tabs>
          <w:tab w:val="left" w:pos="1897"/>
        </w:tabs>
        <w:spacing w:line="276" w:lineRule="auto"/>
        <w:jc w:val="center"/>
        <w:rPr>
          <w:szCs w:val="28"/>
          <w:lang w:val="en-US"/>
        </w:rPr>
      </w:pPr>
      <w:bookmarkStart w:id="2" w:name="_GoBack"/>
      <w:bookmarkEnd w:id="2"/>
    </w:p>
    <w:p w:rsidR="00FB1AD8" w:rsidRDefault="00FB1AD8" w:rsidP="00523FD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5F60AA" w:rsidRPr="005F60AA" w:rsidRDefault="005F60AA" w:rsidP="005F60AA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F60AA">
        <w:rPr>
          <w:szCs w:val="28"/>
        </w:rPr>
        <w:t xml:space="preserve">В соответствии с Федеральным законом от 27 июля 2010 года № 190-ФЗ «О теплоснабжении», постановлением Правительства Российской Федерации </w:t>
      </w:r>
      <w:r>
        <w:rPr>
          <w:szCs w:val="28"/>
        </w:rPr>
        <w:br/>
      </w:r>
      <w:r w:rsidRPr="005F60AA">
        <w:rPr>
          <w:szCs w:val="28"/>
        </w:rPr>
        <w:t xml:space="preserve">т 22 октября 2012 года № 1075 «О ценообразовании в сфере теплоснабжения» </w:t>
      </w:r>
      <w:r>
        <w:rPr>
          <w:szCs w:val="28"/>
        </w:rPr>
        <w:br/>
      </w:r>
      <w:r w:rsidRPr="005F60AA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Pr="005F60AA">
        <w:rPr>
          <w:noProof/>
          <w:szCs w:val="28"/>
        </w:rPr>
        <w:t>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</w:t>
      </w:r>
      <w:r w:rsidRPr="005F60AA">
        <w:rPr>
          <w:bCs/>
          <w:szCs w:val="28"/>
        </w:rPr>
        <w:t>, г. Нижний Новгород</w:t>
      </w:r>
      <w:r w:rsidRPr="005F60AA">
        <w:rPr>
          <w:noProof/>
          <w:szCs w:val="28"/>
        </w:rPr>
        <w:t xml:space="preserve">, </w:t>
      </w:r>
      <w:r w:rsidRPr="005F60AA">
        <w:rPr>
          <w:szCs w:val="28"/>
        </w:rPr>
        <w:t>экспертного заключения рег. № в-515 от 7 ноября 2017 года:</w:t>
      </w:r>
    </w:p>
    <w:p w:rsidR="005F60AA" w:rsidRPr="005F60AA" w:rsidRDefault="005F60AA" w:rsidP="005F60AA">
      <w:pPr>
        <w:spacing w:line="276" w:lineRule="auto"/>
        <w:ind w:firstLine="708"/>
        <w:jc w:val="both"/>
        <w:rPr>
          <w:bCs/>
          <w:szCs w:val="28"/>
        </w:rPr>
      </w:pPr>
      <w:r w:rsidRPr="005F60AA">
        <w:rPr>
          <w:b/>
          <w:szCs w:val="28"/>
        </w:rPr>
        <w:t xml:space="preserve">1. </w:t>
      </w:r>
      <w:r w:rsidRPr="005F60AA">
        <w:rPr>
          <w:szCs w:val="28"/>
        </w:rPr>
        <w:t xml:space="preserve">Внести </w:t>
      </w:r>
      <w:r w:rsidRPr="005F60AA">
        <w:rPr>
          <w:bCs/>
          <w:szCs w:val="28"/>
        </w:rPr>
        <w:t>в решение региональной службы по</w:t>
      </w:r>
      <w:r>
        <w:rPr>
          <w:bCs/>
          <w:szCs w:val="28"/>
        </w:rPr>
        <w:t xml:space="preserve"> тарифам Нижегородской области </w:t>
      </w:r>
      <w:r w:rsidRPr="005F60AA">
        <w:rPr>
          <w:bCs/>
          <w:szCs w:val="28"/>
        </w:rPr>
        <w:t>от 26 ноября 2015 года № 44/60 «</w:t>
      </w:r>
      <w:r w:rsidRPr="005F60AA">
        <w:rPr>
          <w:noProof/>
          <w:szCs w:val="28"/>
        </w:rPr>
        <w:t>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</w:t>
      </w:r>
      <w:r w:rsidRPr="005F60AA">
        <w:rPr>
          <w:bCs/>
          <w:szCs w:val="28"/>
        </w:rPr>
        <w:t xml:space="preserve">, </w:t>
      </w:r>
      <w:proofErr w:type="gramStart"/>
      <w:r w:rsidRPr="005F60AA">
        <w:rPr>
          <w:bCs/>
          <w:szCs w:val="28"/>
        </w:rPr>
        <w:t>г</w:t>
      </w:r>
      <w:proofErr w:type="gramEnd"/>
      <w:r w:rsidRPr="005F60AA">
        <w:rPr>
          <w:bCs/>
          <w:szCs w:val="28"/>
        </w:rPr>
        <w:t>. Нижний Новгород,</w:t>
      </w:r>
      <w:r w:rsidRPr="005F60AA">
        <w:rPr>
          <w:noProof/>
          <w:szCs w:val="28"/>
        </w:rPr>
        <w:t xml:space="preserve"> тарифов на тепловую энергию (мощность), поставляемую</w:t>
      </w:r>
      <w:r w:rsidRPr="005F60AA">
        <w:rPr>
          <w:bCs/>
          <w:szCs w:val="28"/>
        </w:rPr>
        <w:t xml:space="preserve"> потребителям </w:t>
      </w:r>
      <w:r w:rsidRPr="005F60AA">
        <w:rPr>
          <w:noProof/>
          <w:szCs w:val="28"/>
        </w:rPr>
        <w:t>г. Нижнего Новгорода</w:t>
      </w:r>
      <w:r w:rsidRPr="005F60AA">
        <w:rPr>
          <w:bCs/>
          <w:szCs w:val="28"/>
        </w:rPr>
        <w:t xml:space="preserve">» изменение, изложив таблицу Приложения 2 к решению в следующей редакции: </w:t>
      </w:r>
    </w:p>
    <w:p w:rsidR="005F60AA" w:rsidRPr="005F60AA" w:rsidRDefault="005F60AA" w:rsidP="005F60AA">
      <w:pPr>
        <w:spacing w:line="276" w:lineRule="auto"/>
        <w:jc w:val="both"/>
        <w:rPr>
          <w:szCs w:val="28"/>
        </w:rPr>
      </w:pPr>
      <w:r w:rsidRPr="005F60AA">
        <w:rPr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2944"/>
        <w:gridCol w:w="2111"/>
        <w:gridCol w:w="982"/>
        <w:gridCol w:w="1370"/>
        <w:gridCol w:w="1575"/>
      </w:tblGrid>
      <w:tr w:rsidR="005F60AA" w:rsidRPr="00E56C76" w:rsidTr="005F60AA">
        <w:trPr>
          <w:trHeight w:val="253"/>
        </w:trPr>
        <w:tc>
          <w:tcPr>
            <w:tcW w:w="818" w:type="dxa"/>
            <w:vMerge w:val="restart"/>
          </w:tcPr>
          <w:p w:rsidR="005F60AA" w:rsidRPr="005F60AA" w:rsidRDefault="005F60AA" w:rsidP="005F60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60AA"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5F60AA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F60AA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944" w:type="dxa"/>
            <w:vMerge w:val="restart"/>
          </w:tcPr>
          <w:p w:rsidR="005F60AA" w:rsidRPr="005F60AA" w:rsidRDefault="005F60AA" w:rsidP="003A3CF4">
            <w:pPr>
              <w:ind w:left="-90"/>
              <w:jc w:val="center"/>
              <w:rPr>
                <w:b/>
                <w:bCs/>
                <w:sz w:val="22"/>
                <w:szCs w:val="22"/>
              </w:rPr>
            </w:pPr>
            <w:r w:rsidRPr="005F60AA">
              <w:rPr>
                <w:b/>
                <w:bCs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11" w:type="dxa"/>
            <w:vMerge w:val="restart"/>
          </w:tcPr>
          <w:p w:rsidR="005F60AA" w:rsidRPr="005F60AA" w:rsidRDefault="005F60AA" w:rsidP="003A3CF4">
            <w:pPr>
              <w:ind w:left="-24" w:firstLine="24"/>
              <w:jc w:val="center"/>
              <w:rPr>
                <w:b/>
                <w:bCs/>
                <w:sz w:val="22"/>
                <w:szCs w:val="22"/>
              </w:rPr>
            </w:pPr>
            <w:r w:rsidRPr="005F60AA">
              <w:rPr>
                <w:b/>
                <w:bCs/>
                <w:sz w:val="22"/>
                <w:szCs w:val="22"/>
              </w:rPr>
              <w:t>Вид тарифа</w:t>
            </w:r>
          </w:p>
        </w:tc>
        <w:tc>
          <w:tcPr>
            <w:tcW w:w="982" w:type="dxa"/>
            <w:vMerge w:val="restart"/>
          </w:tcPr>
          <w:p w:rsidR="005F60AA" w:rsidRPr="005F60AA" w:rsidRDefault="005F60AA" w:rsidP="003A3CF4">
            <w:pPr>
              <w:ind w:left="-24" w:firstLine="24"/>
              <w:jc w:val="center"/>
              <w:rPr>
                <w:b/>
                <w:bCs/>
                <w:sz w:val="22"/>
                <w:szCs w:val="22"/>
              </w:rPr>
            </w:pPr>
            <w:r w:rsidRPr="005F60AA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945" w:type="dxa"/>
            <w:gridSpan w:val="2"/>
          </w:tcPr>
          <w:p w:rsidR="005F60AA" w:rsidRPr="005F60AA" w:rsidRDefault="005F60AA" w:rsidP="003A3CF4">
            <w:pPr>
              <w:ind w:left="-24" w:firstLine="24"/>
              <w:jc w:val="center"/>
              <w:rPr>
                <w:b/>
                <w:bCs/>
                <w:sz w:val="22"/>
                <w:szCs w:val="22"/>
              </w:rPr>
            </w:pPr>
            <w:r w:rsidRPr="005F60AA">
              <w:rPr>
                <w:b/>
                <w:bCs/>
                <w:sz w:val="22"/>
                <w:szCs w:val="22"/>
              </w:rPr>
              <w:t>Вода</w:t>
            </w:r>
          </w:p>
        </w:tc>
      </w:tr>
      <w:tr w:rsidR="005F60AA" w:rsidRPr="00E56C76" w:rsidTr="005F60AA">
        <w:trPr>
          <w:trHeight w:val="148"/>
        </w:trPr>
        <w:tc>
          <w:tcPr>
            <w:tcW w:w="818" w:type="dxa"/>
            <w:vMerge/>
          </w:tcPr>
          <w:p w:rsidR="005F60AA" w:rsidRPr="005F60AA" w:rsidRDefault="005F60AA" w:rsidP="005F60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4" w:type="dxa"/>
            <w:vMerge/>
          </w:tcPr>
          <w:p w:rsidR="005F60AA" w:rsidRPr="005F60AA" w:rsidRDefault="005F60AA" w:rsidP="003A3CF4">
            <w:pPr>
              <w:ind w:left="-9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1" w:type="dxa"/>
            <w:vMerge/>
          </w:tcPr>
          <w:p w:rsidR="005F60AA" w:rsidRPr="005F60AA" w:rsidRDefault="005F60AA" w:rsidP="003A3CF4">
            <w:pPr>
              <w:ind w:left="-24" w:firstLine="2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5F60AA" w:rsidRPr="005F60AA" w:rsidRDefault="005F60AA" w:rsidP="003A3CF4">
            <w:pPr>
              <w:ind w:left="-24" w:firstLine="2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</w:tcPr>
          <w:p w:rsidR="005F60AA" w:rsidRPr="005F60AA" w:rsidRDefault="005F60AA" w:rsidP="003A3CF4">
            <w:pPr>
              <w:ind w:left="-24" w:firstLine="24"/>
              <w:jc w:val="center"/>
              <w:rPr>
                <w:b/>
                <w:bCs/>
                <w:sz w:val="22"/>
                <w:szCs w:val="22"/>
              </w:rPr>
            </w:pPr>
            <w:r w:rsidRPr="005F60AA">
              <w:rPr>
                <w:b/>
                <w:sz w:val="22"/>
                <w:szCs w:val="22"/>
              </w:rPr>
              <w:t xml:space="preserve">с 1 января по 30 июня </w:t>
            </w:r>
          </w:p>
        </w:tc>
        <w:tc>
          <w:tcPr>
            <w:tcW w:w="1575" w:type="dxa"/>
          </w:tcPr>
          <w:p w:rsidR="005F60AA" w:rsidRPr="005F60AA" w:rsidRDefault="005F60AA" w:rsidP="003A3CF4">
            <w:pPr>
              <w:ind w:left="-24" w:firstLine="24"/>
              <w:jc w:val="center"/>
              <w:rPr>
                <w:b/>
                <w:bCs/>
                <w:sz w:val="22"/>
                <w:szCs w:val="22"/>
              </w:rPr>
            </w:pPr>
            <w:r w:rsidRPr="005F60AA">
              <w:rPr>
                <w:b/>
                <w:sz w:val="22"/>
                <w:szCs w:val="22"/>
              </w:rPr>
              <w:t xml:space="preserve">с 1 июля по 31 декабря </w:t>
            </w:r>
          </w:p>
        </w:tc>
      </w:tr>
      <w:tr w:rsidR="005F60AA" w:rsidRPr="00E56C76" w:rsidTr="005F60AA">
        <w:trPr>
          <w:trHeight w:val="560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  <w:r w:rsidRPr="00E56C76">
              <w:rPr>
                <w:b/>
                <w:bCs/>
                <w:sz w:val="20"/>
              </w:rPr>
              <w:t>1.</w:t>
            </w:r>
          </w:p>
        </w:tc>
        <w:tc>
          <w:tcPr>
            <w:tcW w:w="2944" w:type="dxa"/>
            <w:vMerge w:val="restart"/>
          </w:tcPr>
          <w:p w:rsidR="005F60AA" w:rsidRPr="005F60AA" w:rsidRDefault="005F60AA" w:rsidP="003A3C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0AA">
              <w:rPr>
                <w:noProof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  <w:r w:rsidRPr="005F60A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</w:r>
            <w:r w:rsidRPr="005F60AA">
              <w:rPr>
                <w:bCs/>
                <w:sz w:val="22"/>
                <w:szCs w:val="22"/>
              </w:rPr>
              <w:t>г. Нижний Новгород</w:t>
            </w:r>
          </w:p>
        </w:tc>
        <w:tc>
          <w:tcPr>
            <w:tcW w:w="6038" w:type="dxa"/>
            <w:gridSpan w:val="4"/>
          </w:tcPr>
          <w:p w:rsidR="005F60AA" w:rsidRPr="00E56C76" w:rsidRDefault="005F60AA" w:rsidP="003A3CF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56C76">
              <w:rPr>
                <w:b/>
                <w:bCs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F60AA" w:rsidRPr="00E56C76" w:rsidTr="005F60AA">
        <w:trPr>
          <w:trHeight w:val="271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  <w:r w:rsidRPr="00E56C76">
              <w:rPr>
                <w:b/>
                <w:bCs/>
                <w:sz w:val="20"/>
              </w:rPr>
              <w:t>1.1.</w:t>
            </w:r>
          </w:p>
        </w:tc>
        <w:tc>
          <w:tcPr>
            <w:tcW w:w="2944" w:type="dxa"/>
            <w:vMerge/>
          </w:tcPr>
          <w:p w:rsidR="005F60AA" w:rsidRPr="00E56C76" w:rsidRDefault="005F60AA" w:rsidP="003A3CF4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5F60AA" w:rsidRPr="00E56C76" w:rsidRDefault="005F60AA" w:rsidP="003A3CF4">
            <w:pPr>
              <w:ind w:left="-24" w:firstLine="24"/>
              <w:rPr>
                <w:sz w:val="20"/>
              </w:rPr>
            </w:pPr>
            <w:proofErr w:type="spellStart"/>
            <w:r w:rsidRPr="00E56C76">
              <w:rPr>
                <w:sz w:val="20"/>
              </w:rPr>
              <w:t>одноставочный</w:t>
            </w:r>
            <w:proofErr w:type="spellEnd"/>
            <w:r w:rsidRPr="00E56C76">
              <w:rPr>
                <w:sz w:val="20"/>
              </w:rPr>
              <w:t>, руб./Гкал</w:t>
            </w:r>
          </w:p>
        </w:tc>
        <w:tc>
          <w:tcPr>
            <w:tcW w:w="982" w:type="dxa"/>
          </w:tcPr>
          <w:p w:rsidR="005F60AA" w:rsidRPr="00E56C76" w:rsidRDefault="005F60AA" w:rsidP="003A3CF4">
            <w:pPr>
              <w:ind w:left="-24" w:right="57" w:firstLine="24"/>
              <w:jc w:val="center"/>
              <w:rPr>
                <w:sz w:val="20"/>
              </w:rPr>
            </w:pPr>
            <w:r w:rsidRPr="00E56C76">
              <w:rPr>
                <w:sz w:val="20"/>
              </w:rPr>
              <w:t>2016</w:t>
            </w:r>
          </w:p>
        </w:tc>
        <w:tc>
          <w:tcPr>
            <w:tcW w:w="1370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1482,02</w:t>
            </w:r>
          </w:p>
        </w:tc>
        <w:tc>
          <w:tcPr>
            <w:tcW w:w="1575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1563,46</w:t>
            </w:r>
          </w:p>
        </w:tc>
      </w:tr>
      <w:tr w:rsidR="005F60AA" w:rsidRPr="00E56C76" w:rsidTr="005F60AA">
        <w:trPr>
          <w:trHeight w:val="271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  <w:r w:rsidRPr="00E56C76">
              <w:rPr>
                <w:b/>
                <w:bCs/>
                <w:sz w:val="20"/>
              </w:rPr>
              <w:t>1.2.</w:t>
            </w:r>
          </w:p>
        </w:tc>
        <w:tc>
          <w:tcPr>
            <w:tcW w:w="2944" w:type="dxa"/>
            <w:vMerge/>
          </w:tcPr>
          <w:p w:rsidR="005F60AA" w:rsidRPr="00E56C76" w:rsidRDefault="005F60AA" w:rsidP="003A3CF4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5F60AA" w:rsidRPr="00E56C76" w:rsidRDefault="005F60AA" w:rsidP="003A3CF4">
            <w:pPr>
              <w:ind w:left="-24" w:firstLine="24"/>
              <w:rPr>
                <w:sz w:val="20"/>
              </w:rPr>
            </w:pPr>
          </w:p>
        </w:tc>
        <w:tc>
          <w:tcPr>
            <w:tcW w:w="982" w:type="dxa"/>
          </w:tcPr>
          <w:p w:rsidR="005F60AA" w:rsidRPr="00E56C76" w:rsidRDefault="005F60AA" w:rsidP="003A3CF4">
            <w:pPr>
              <w:ind w:left="-24" w:right="57" w:firstLine="24"/>
              <w:jc w:val="center"/>
              <w:rPr>
                <w:sz w:val="20"/>
              </w:rPr>
            </w:pPr>
            <w:r w:rsidRPr="00E56C76">
              <w:rPr>
                <w:sz w:val="20"/>
              </w:rPr>
              <w:t>2017</w:t>
            </w:r>
          </w:p>
        </w:tc>
        <w:tc>
          <w:tcPr>
            <w:tcW w:w="1370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1563,46</w:t>
            </w:r>
          </w:p>
        </w:tc>
        <w:tc>
          <w:tcPr>
            <w:tcW w:w="1575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1625,27</w:t>
            </w:r>
          </w:p>
        </w:tc>
      </w:tr>
      <w:tr w:rsidR="005F60AA" w:rsidRPr="00E56C76" w:rsidTr="005F60AA">
        <w:trPr>
          <w:trHeight w:val="271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  <w:r w:rsidRPr="00E56C76">
              <w:rPr>
                <w:b/>
                <w:bCs/>
                <w:sz w:val="20"/>
              </w:rPr>
              <w:t>1.3.</w:t>
            </w:r>
          </w:p>
        </w:tc>
        <w:tc>
          <w:tcPr>
            <w:tcW w:w="2944" w:type="dxa"/>
            <w:vMerge/>
          </w:tcPr>
          <w:p w:rsidR="005F60AA" w:rsidRPr="00E56C76" w:rsidRDefault="005F60AA" w:rsidP="003A3CF4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5F60AA" w:rsidRPr="00E56C76" w:rsidRDefault="005F60AA" w:rsidP="003A3CF4">
            <w:pPr>
              <w:ind w:left="-24" w:firstLine="24"/>
              <w:rPr>
                <w:sz w:val="20"/>
              </w:rPr>
            </w:pPr>
          </w:p>
        </w:tc>
        <w:tc>
          <w:tcPr>
            <w:tcW w:w="982" w:type="dxa"/>
          </w:tcPr>
          <w:p w:rsidR="005F60AA" w:rsidRPr="00E56C76" w:rsidRDefault="005F60AA" w:rsidP="003A3CF4">
            <w:pPr>
              <w:ind w:left="-24" w:right="57" w:firstLine="24"/>
              <w:jc w:val="center"/>
              <w:rPr>
                <w:sz w:val="20"/>
              </w:rPr>
            </w:pPr>
            <w:r w:rsidRPr="00E56C76">
              <w:rPr>
                <w:sz w:val="20"/>
              </w:rPr>
              <w:t>2018</w:t>
            </w:r>
          </w:p>
        </w:tc>
        <w:tc>
          <w:tcPr>
            <w:tcW w:w="1370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1625,27</w:t>
            </w:r>
          </w:p>
        </w:tc>
        <w:tc>
          <w:tcPr>
            <w:tcW w:w="1575" w:type="dxa"/>
          </w:tcPr>
          <w:p w:rsidR="005F60AA" w:rsidRPr="00E56C76" w:rsidRDefault="00E87F0E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87F0E">
              <w:rPr>
                <w:sz w:val="24"/>
                <w:szCs w:val="24"/>
              </w:rPr>
              <w:t>1 670,61</w:t>
            </w:r>
          </w:p>
        </w:tc>
      </w:tr>
      <w:tr w:rsidR="005F60AA" w:rsidRPr="00E56C76" w:rsidTr="005F60AA">
        <w:trPr>
          <w:trHeight w:val="217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44" w:type="dxa"/>
            <w:vMerge/>
          </w:tcPr>
          <w:p w:rsidR="005F60AA" w:rsidRPr="00E56C76" w:rsidRDefault="005F60AA" w:rsidP="003A3CF4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8" w:type="dxa"/>
            <w:gridSpan w:val="4"/>
          </w:tcPr>
          <w:p w:rsidR="005F60AA" w:rsidRPr="00E56C76" w:rsidRDefault="005F60AA" w:rsidP="003A3CF4">
            <w:pPr>
              <w:ind w:left="-24" w:firstLine="24"/>
              <w:rPr>
                <w:b/>
                <w:sz w:val="16"/>
                <w:szCs w:val="16"/>
              </w:rPr>
            </w:pPr>
            <w:r w:rsidRPr="00E56C76">
              <w:rPr>
                <w:sz w:val="20"/>
              </w:rPr>
              <w:t>Население (тарифы указаны с учетом НДС)</w:t>
            </w:r>
          </w:p>
        </w:tc>
      </w:tr>
      <w:tr w:rsidR="005F60AA" w:rsidRPr="00E56C76" w:rsidTr="005F60AA">
        <w:trPr>
          <w:trHeight w:val="271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  <w:r w:rsidRPr="00E56C76">
              <w:rPr>
                <w:b/>
                <w:bCs/>
                <w:sz w:val="20"/>
              </w:rPr>
              <w:t>1.4.</w:t>
            </w:r>
          </w:p>
        </w:tc>
        <w:tc>
          <w:tcPr>
            <w:tcW w:w="2944" w:type="dxa"/>
            <w:vMerge/>
          </w:tcPr>
          <w:p w:rsidR="005F60AA" w:rsidRPr="00E56C76" w:rsidRDefault="005F60AA" w:rsidP="003A3CF4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5F60AA" w:rsidRPr="00E56C76" w:rsidRDefault="005F60AA" w:rsidP="003A3CF4">
            <w:pPr>
              <w:ind w:left="-24" w:firstLine="24"/>
              <w:rPr>
                <w:sz w:val="20"/>
              </w:rPr>
            </w:pPr>
            <w:proofErr w:type="spellStart"/>
            <w:r w:rsidRPr="00E56C76">
              <w:rPr>
                <w:sz w:val="20"/>
              </w:rPr>
              <w:t>одноставочный</w:t>
            </w:r>
            <w:proofErr w:type="spellEnd"/>
            <w:r w:rsidRPr="00E56C76">
              <w:rPr>
                <w:sz w:val="20"/>
              </w:rPr>
              <w:t>, руб./Гкал</w:t>
            </w:r>
          </w:p>
        </w:tc>
        <w:tc>
          <w:tcPr>
            <w:tcW w:w="982" w:type="dxa"/>
          </w:tcPr>
          <w:p w:rsidR="005F60AA" w:rsidRPr="00E56C76" w:rsidRDefault="005F60AA" w:rsidP="003A3CF4">
            <w:pPr>
              <w:ind w:left="-24" w:right="57" w:firstLine="24"/>
              <w:jc w:val="center"/>
              <w:rPr>
                <w:sz w:val="20"/>
              </w:rPr>
            </w:pPr>
            <w:r w:rsidRPr="00E56C76">
              <w:rPr>
                <w:sz w:val="20"/>
              </w:rPr>
              <w:t>2016</w:t>
            </w:r>
          </w:p>
        </w:tc>
        <w:tc>
          <w:tcPr>
            <w:tcW w:w="1370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1748,78</w:t>
            </w:r>
          </w:p>
        </w:tc>
        <w:tc>
          <w:tcPr>
            <w:tcW w:w="1575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1844,88</w:t>
            </w:r>
          </w:p>
        </w:tc>
      </w:tr>
      <w:tr w:rsidR="005F60AA" w:rsidRPr="00E56C76" w:rsidTr="005F60AA">
        <w:trPr>
          <w:trHeight w:val="290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  <w:r w:rsidRPr="00E56C76">
              <w:rPr>
                <w:b/>
                <w:bCs/>
                <w:sz w:val="20"/>
              </w:rPr>
              <w:t>1.5.</w:t>
            </w:r>
          </w:p>
        </w:tc>
        <w:tc>
          <w:tcPr>
            <w:tcW w:w="2944" w:type="dxa"/>
            <w:vMerge/>
          </w:tcPr>
          <w:p w:rsidR="005F60AA" w:rsidRPr="00E56C76" w:rsidRDefault="005F60AA" w:rsidP="003A3CF4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5F60AA" w:rsidRPr="00E56C76" w:rsidRDefault="005F60AA" w:rsidP="003A3CF4">
            <w:pPr>
              <w:ind w:left="-24" w:firstLine="24"/>
              <w:rPr>
                <w:sz w:val="20"/>
              </w:rPr>
            </w:pPr>
          </w:p>
        </w:tc>
        <w:tc>
          <w:tcPr>
            <w:tcW w:w="982" w:type="dxa"/>
          </w:tcPr>
          <w:p w:rsidR="005F60AA" w:rsidRPr="00E56C76" w:rsidRDefault="005F60AA" w:rsidP="003A3CF4">
            <w:pPr>
              <w:ind w:left="-24" w:right="57" w:firstLine="24"/>
              <w:jc w:val="center"/>
              <w:rPr>
                <w:sz w:val="20"/>
              </w:rPr>
            </w:pPr>
            <w:r w:rsidRPr="00E56C76">
              <w:rPr>
                <w:sz w:val="20"/>
              </w:rPr>
              <w:t>2017</w:t>
            </w:r>
          </w:p>
        </w:tc>
        <w:tc>
          <w:tcPr>
            <w:tcW w:w="1370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1844,88</w:t>
            </w:r>
          </w:p>
        </w:tc>
        <w:tc>
          <w:tcPr>
            <w:tcW w:w="1575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1917,82</w:t>
            </w:r>
          </w:p>
        </w:tc>
      </w:tr>
      <w:tr w:rsidR="005F60AA" w:rsidRPr="00E56C76" w:rsidTr="005F60AA">
        <w:trPr>
          <w:trHeight w:val="290"/>
        </w:trPr>
        <w:tc>
          <w:tcPr>
            <w:tcW w:w="818" w:type="dxa"/>
          </w:tcPr>
          <w:p w:rsidR="005F60AA" w:rsidRPr="00E56C76" w:rsidRDefault="005F60AA" w:rsidP="005F60AA">
            <w:pPr>
              <w:jc w:val="center"/>
              <w:rPr>
                <w:b/>
                <w:bCs/>
                <w:sz w:val="20"/>
              </w:rPr>
            </w:pPr>
            <w:r w:rsidRPr="00E56C76">
              <w:rPr>
                <w:b/>
                <w:bCs/>
                <w:sz w:val="20"/>
              </w:rPr>
              <w:t>1.6.</w:t>
            </w:r>
          </w:p>
        </w:tc>
        <w:tc>
          <w:tcPr>
            <w:tcW w:w="2944" w:type="dxa"/>
            <w:vMerge/>
          </w:tcPr>
          <w:p w:rsidR="005F60AA" w:rsidRPr="00E56C76" w:rsidRDefault="005F60AA" w:rsidP="003A3CF4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5F60AA" w:rsidRPr="00E56C76" w:rsidRDefault="005F60AA" w:rsidP="003A3CF4">
            <w:pPr>
              <w:ind w:left="-24" w:firstLine="24"/>
              <w:rPr>
                <w:sz w:val="20"/>
              </w:rPr>
            </w:pPr>
          </w:p>
        </w:tc>
        <w:tc>
          <w:tcPr>
            <w:tcW w:w="982" w:type="dxa"/>
          </w:tcPr>
          <w:p w:rsidR="005F60AA" w:rsidRPr="00E56C76" w:rsidRDefault="005F60AA" w:rsidP="003A3CF4">
            <w:pPr>
              <w:ind w:left="-24" w:right="57" w:firstLine="24"/>
              <w:jc w:val="center"/>
              <w:rPr>
                <w:sz w:val="20"/>
              </w:rPr>
            </w:pPr>
            <w:r w:rsidRPr="00E56C76">
              <w:rPr>
                <w:sz w:val="20"/>
              </w:rPr>
              <w:t>2018</w:t>
            </w:r>
          </w:p>
        </w:tc>
        <w:tc>
          <w:tcPr>
            <w:tcW w:w="1370" w:type="dxa"/>
          </w:tcPr>
          <w:p w:rsidR="005F60AA" w:rsidRPr="00E56C76" w:rsidRDefault="005F60AA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56C76">
              <w:rPr>
                <w:sz w:val="24"/>
                <w:szCs w:val="24"/>
              </w:rPr>
              <w:t>1917,82</w:t>
            </w:r>
          </w:p>
        </w:tc>
        <w:tc>
          <w:tcPr>
            <w:tcW w:w="1575" w:type="dxa"/>
          </w:tcPr>
          <w:p w:rsidR="005F60AA" w:rsidRPr="00E56C76" w:rsidRDefault="00E87F0E" w:rsidP="003A3CF4">
            <w:pPr>
              <w:ind w:left="-24" w:firstLine="24"/>
              <w:jc w:val="center"/>
              <w:rPr>
                <w:sz w:val="24"/>
                <w:szCs w:val="24"/>
              </w:rPr>
            </w:pPr>
            <w:r w:rsidRPr="00E87F0E">
              <w:rPr>
                <w:sz w:val="24"/>
                <w:szCs w:val="24"/>
              </w:rPr>
              <w:t>1 971,32</w:t>
            </w:r>
          </w:p>
        </w:tc>
      </w:tr>
    </w:tbl>
    <w:p w:rsidR="005F60AA" w:rsidRPr="005F60AA" w:rsidRDefault="005F60AA" w:rsidP="005F60AA">
      <w:pPr>
        <w:spacing w:line="276" w:lineRule="auto"/>
        <w:jc w:val="right"/>
        <w:rPr>
          <w:szCs w:val="28"/>
        </w:rPr>
      </w:pPr>
      <w:r w:rsidRPr="005F60AA">
        <w:rPr>
          <w:szCs w:val="28"/>
        </w:rPr>
        <w:t>».</w:t>
      </w:r>
    </w:p>
    <w:p w:rsidR="005F60AA" w:rsidRPr="005F60AA" w:rsidRDefault="005F60AA" w:rsidP="005F60AA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F60AA">
        <w:rPr>
          <w:b/>
          <w:szCs w:val="28"/>
        </w:rPr>
        <w:t>2.</w:t>
      </w:r>
      <w:r w:rsidRPr="005F60AA">
        <w:rPr>
          <w:szCs w:val="28"/>
        </w:rPr>
        <w:t xml:space="preserve"> </w:t>
      </w:r>
      <w:r w:rsidRPr="005F60AA">
        <w:rPr>
          <w:color w:val="000000"/>
          <w:szCs w:val="28"/>
        </w:rPr>
        <w:t>Настоящее решение вступает в силу с 1 января 2018 года.</w:t>
      </w:r>
    </w:p>
    <w:p w:rsidR="007263E4" w:rsidRPr="005F60AA" w:rsidRDefault="007263E4" w:rsidP="005F60AA">
      <w:pPr>
        <w:tabs>
          <w:tab w:val="left" w:pos="1897"/>
        </w:tabs>
        <w:spacing w:line="276" w:lineRule="auto"/>
        <w:rPr>
          <w:szCs w:val="28"/>
        </w:rPr>
      </w:pPr>
    </w:p>
    <w:p w:rsidR="00506147" w:rsidRDefault="00506147" w:rsidP="00FB1AD8">
      <w:pPr>
        <w:tabs>
          <w:tab w:val="left" w:pos="1897"/>
        </w:tabs>
        <w:spacing w:line="276" w:lineRule="auto"/>
        <w:rPr>
          <w:szCs w:val="28"/>
        </w:rPr>
      </w:pPr>
    </w:p>
    <w:p w:rsidR="00506147" w:rsidRDefault="00506147" w:rsidP="00FB1AD8">
      <w:pPr>
        <w:tabs>
          <w:tab w:val="left" w:pos="1897"/>
        </w:tabs>
        <w:spacing w:line="276" w:lineRule="auto"/>
        <w:rPr>
          <w:szCs w:val="28"/>
        </w:rPr>
      </w:pPr>
    </w:p>
    <w:p w:rsidR="00856C14" w:rsidRDefault="00C8751A" w:rsidP="00F52A26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</w:t>
      </w:r>
      <w:r w:rsidR="00C64A41">
        <w:rPr>
          <w:szCs w:val="28"/>
        </w:rPr>
        <w:t>.о</w:t>
      </w:r>
      <w:proofErr w:type="gramStart"/>
      <w:r w:rsidR="00C64A41">
        <w:rPr>
          <w:szCs w:val="28"/>
        </w:rPr>
        <w:t>.р</w:t>
      </w:r>
      <w:proofErr w:type="gramEnd"/>
      <w:r w:rsidR="00C64A41">
        <w:rPr>
          <w:szCs w:val="28"/>
        </w:rPr>
        <w:t>уководителя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Ю.Л.Алешина</w:t>
      </w:r>
    </w:p>
    <w:sectPr w:rsidR="00856C14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41" w:rsidRDefault="00C64A41">
      <w:r>
        <w:separator/>
      </w:r>
    </w:p>
  </w:endnote>
  <w:endnote w:type="continuationSeparator" w:id="0">
    <w:p w:rsidR="00C64A41" w:rsidRDefault="00C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41" w:rsidRDefault="00C64A41">
      <w:r>
        <w:separator/>
      </w:r>
    </w:p>
  </w:footnote>
  <w:footnote w:type="continuationSeparator" w:id="0">
    <w:p w:rsidR="00C64A41" w:rsidRDefault="00C6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EF4C18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EF4C18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747F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EF4C1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6146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614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614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083B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2B16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0AA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7AC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87F0E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4C18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49B1"/>
    <w:rsid w:val="00FB51B4"/>
    <w:rsid w:val="00FB6BC6"/>
    <w:rsid w:val="00FB6C11"/>
    <w:rsid w:val="00FB6FD2"/>
    <w:rsid w:val="00FB747F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261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2018-06-25T12:29:00Z</cp:lastPrinted>
  <dcterms:created xsi:type="dcterms:W3CDTF">2018-06-25T12:31:00Z</dcterms:created>
  <dcterms:modified xsi:type="dcterms:W3CDTF">2018-06-25T12:31:00Z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